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jc w:val="both"/>
        <w:textAlignment w:val="auto"/>
        <w:rPr>
          <w:rFonts w:hint="eastAsia" w:ascii="方正黑体_GBK" w:hAnsi="方正黑体_GBK" w:eastAsia="方正黑体_GBK" w:cs="方正黑体_GBK"/>
          <w:sz w:val="32"/>
          <w:szCs w:val="32"/>
          <w:lang w:val="en-US" w:eastAsia="zh-CN"/>
        </w:rPr>
      </w:pPr>
      <w:bookmarkStart w:id="0" w:name="_GoBack"/>
      <w:r>
        <w:rPr>
          <w:rFonts w:hint="eastAsia" w:ascii="方正黑体_GBK" w:hAnsi="方正黑体_GBK" w:eastAsia="方正黑体_GBK" w:cs="方正黑体_GBK"/>
          <w:sz w:val="32"/>
          <w:szCs w:val="32"/>
          <w:lang w:val="en-US" w:eastAsia="zh-CN"/>
        </w:rPr>
        <w:t>附件</w:t>
      </w:r>
    </w:p>
    <w:bookmarkEnd w:id="0"/>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重庆市少年宫室内主题活动空间功能提升项目设计任务书</w:t>
      </w:r>
    </w:p>
    <w:p>
      <w:pPr>
        <w:pStyle w:val="2"/>
        <w:pageBreakBefore w:val="0"/>
        <w:kinsoku/>
        <w:wordWrap/>
        <w:overflowPunct/>
        <w:topLinePunct w:val="0"/>
        <w:autoSpaceDE/>
        <w:autoSpaceDN/>
        <w:bidi w:val="0"/>
        <w:adjustRightInd/>
        <w:snapToGrid/>
        <w:spacing w:before="0" w:after="0" w:line="594" w:lineRule="exact"/>
        <w:ind w:leftChars="0"/>
        <w:textAlignment w:val="auto"/>
        <w:rPr>
          <w:rFonts w:hint="eastAsia"/>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一、</w:t>
      </w:r>
      <w:r>
        <w:rPr>
          <w:rFonts w:hint="eastAsia" w:ascii="方正黑体_GBK" w:hAnsi="方正黑体_GBK" w:eastAsia="方正黑体_GBK" w:cs="方正黑体_GBK"/>
          <w:b w:val="0"/>
          <w:bCs w:val="0"/>
          <w:sz w:val="32"/>
          <w:szCs w:val="32"/>
        </w:rPr>
        <w:t>项目名称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bCs/>
          <w:sz w:val="32"/>
          <w:szCs w:val="32"/>
        </w:rPr>
      </w:pPr>
      <w:r>
        <w:rPr>
          <w:rFonts w:hint="eastAsia" w:ascii="Times New Roman" w:hAnsi="Times New Roman" w:eastAsia="方正仿宋_GBK" w:cs="Times New Roman"/>
          <w:sz w:val="32"/>
          <w:szCs w:val="32"/>
          <w:lang w:val="en-US" w:eastAsia="zh-CN"/>
        </w:rPr>
        <w:t>重庆市少年宫室内主题活动空间功能提升项目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二、</w:t>
      </w:r>
      <w:r>
        <w:rPr>
          <w:rFonts w:hint="default" w:ascii="方正黑体_GBK" w:hAnsi="方正黑体_GBK" w:eastAsia="方正黑体_GBK" w:cs="方正黑体_GBK"/>
          <w:b w:val="0"/>
          <w:bCs w:val="0"/>
          <w:sz w:val="32"/>
          <w:szCs w:val="32"/>
        </w:rPr>
        <w:t>项目概况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项目位置：重庆市渝中区</w:t>
      </w:r>
      <w:r>
        <w:rPr>
          <w:rFonts w:hint="eastAsia" w:ascii="Times New Roman" w:hAnsi="Times New Roman" w:eastAsia="方正仿宋_GBK" w:cs="Times New Roman"/>
          <w:sz w:val="32"/>
          <w:szCs w:val="32"/>
          <w:lang w:val="en-US" w:eastAsia="zh-CN"/>
        </w:rPr>
        <w:t>中山二路134号综合大楼负一层、负三层新拓展空间</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w:t>
      </w:r>
      <w:r>
        <w:rPr>
          <w:rFonts w:hint="default" w:ascii="Times New Roman" w:hAnsi="Times New Roman" w:eastAsia="方正仿宋_GBK" w:cs="Times New Roman"/>
          <w:sz w:val="32"/>
          <w:szCs w:val="32"/>
          <w:lang w:val="en-US" w:eastAsia="zh-CN"/>
        </w:rPr>
        <w:t>项目</w:t>
      </w:r>
      <w:r>
        <w:rPr>
          <w:rFonts w:hint="default" w:ascii="Times New Roman" w:hAnsi="Times New Roman" w:eastAsia="方正仿宋_GBK" w:cs="Times New Roman"/>
          <w:sz w:val="32"/>
          <w:szCs w:val="32"/>
        </w:rPr>
        <w:t>面积</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2381.3平方</w:t>
      </w:r>
      <w:r>
        <w:rPr>
          <w:rFonts w:hint="eastAsia" w:ascii="Times New Roman" w:hAnsi="Times New Roman" w:eastAsia="方正仿宋_GBK" w:cs="Times New Roman"/>
          <w:sz w:val="32"/>
          <w:szCs w:val="32"/>
          <w:lang w:val="en-US" w:eastAsia="zh-CN"/>
        </w:rPr>
        <w:t>米（以</w:t>
      </w:r>
      <w:r>
        <w:rPr>
          <w:rFonts w:hint="default" w:ascii="Times New Roman" w:hAnsi="Times New Roman" w:eastAsia="方正仿宋_GBK" w:cs="Times New Roman"/>
          <w:sz w:val="32"/>
          <w:szCs w:val="32"/>
          <w:lang w:val="en-US" w:eastAsia="zh-CN"/>
        </w:rPr>
        <w:t>现场测量</w:t>
      </w:r>
      <w:r>
        <w:rPr>
          <w:rFonts w:hint="eastAsia" w:ascii="Times New Roman" w:hAnsi="Times New Roman" w:eastAsia="方正仿宋_GBK" w:cs="Times New Roman"/>
          <w:sz w:val="32"/>
          <w:szCs w:val="32"/>
          <w:lang w:val="en-US" w:eastAsia="zh-CN"/>
        </w:rPr>
        <w:t>为准）</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建设性质：</w:t>
      </w:r>
      <w:r>
        <w:rPr>
          <w:rFonts w:hint="eastAsia" w:ascii="Times New Roman" w:hAnsi="Times New Roman" w:eastAsia="方正仿宋_GBK" w:cs="Times New Roman"/>
          <w:sz w:val="32"/>
          <w:szCs w:val="32"/>
          <w:lang w:val="en-US" w:eastAsia="zh-CN"/>
        </w:rPr>
        <w:t>室内主题活动空间功能提升装修装饰</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kern w:val="0"/>
          <w:sz w:val="32"/>
          <w:szCs w:val="32"/>
          <w:lang w:val="en-US" w:eastAsia="zh-CN" w:bidi="ar"/>
        </w:rPr>
      </w:pPr>
      <w:r>
        <w:rPr>
          <w:rFonts w:hint="eastAsia" w:ascii="Times New Roman" w:hAnsi="Times New Roman" w:eastAsia="方正仿宋_GBK" w:cs="Times New Roman"/>
          <w:sz w:val="32"/>
          <w:szCs w:val="32"/>
          <w:lang w:val="en-US" w:eastAsia="zh-CN"/>
        </w:rPr>
        <w:t>（四）</w:t>
      </w:r>
      <w:r>
        <w:rPr>
          <w:rFonts w:hint="default" w:ascii="Times New Roman" w:hAnsi="Times New Roman" w:eastAsia="方正仿宋_GBK" w:cs="Times New Roman"/>
          <w:sz w:val="32"/>
          <w:szCs w:val="32"/>
          <w:lang w:val="en-US" w:eastAsia="zh-CN"/>
        </w:rPr>
        <w:t>建筑结构：钢筋混凝土框架结构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val="en-US" w:eastAsia="zh-CN"/>
        </w:rPr>
        <w:t>三、</w:t>
      </w:r>
      <w:r>
        <w:rPr>
          <w:rFonts w:hint="default" w:ascii="方正黑体_GBK" w:hAnsi="方正黑体_GBK" w:eastAsia="方正黑体_GBK" w:cs="方正黑体_GBK"/>
          <w:b w:val="0"/>
          <w:bCs w:val="0"/>
          <w:sz w:val="32"/>
          <w:szCs w:val="32"/>
        </w:rPr>
        <w:t>设计依据</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lang w:val="en-US" w:eastAsia="zh-CN"/>
        </w:rPr>
        <w:t xml:space="preserve">国家及地方现行相关规范及标准文件 </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装修设计规范及</w:t>
      </w:r>
      <w:r>
        <w:rPr>
          <w:rFonts w:hint="default" w:ascii="Times New Roman" w:hAnsi="Times New Roman" w:eastAsia="方正仿宋_GBK" w:cs="Times New Roman"/>
          <w:sz w:val="32"/>
          <w:szCs w:val="32"/>
          <w:lang w:val="en-US" w:eastAsia="zh-CN"/>
        </w:rPr>
        <w:t>验</w:t>
      </w:r>
      <w:r>
        <w:rPr>
          <w:rFonts w:hint="default" w:ascii="Times New Roman" w:hAnsi="Times New Roman" w:eastAsia="方正仿宋_GBK" w:cs="Times New Roman"/>
          <w:sz w:val="32"/>
          <w:szCs w:val="32"/>
        </w:rPr>
        <w:t>收标准</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lang w:val="en-US" w:eastAsia="zh-CN"/>
        </w:rPr>
        <w:t>原建筑设计图纸及相关文件</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本项目建</w:t>
      </w:r>
      <w:r>
        <w:rPr>
          <w:rFonts w:hint="default" w:ascii="Times New Roman" w:hAnsi="Times New Roman" w:eastAsia="方正仿宋_GBK" w:cs="Times New Roman"/>
          <w:sz w:val="32"/>
          <w:szCs w:val="32"/>
          <w:lang w:val="en-US" w:eastAsia="zh-CN"/>
        </w:rPr>
        <w:t>筑设计图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结构设计图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机电设计图</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（五）甲方的功能性需求</w:t>
      </w:r>
    </w:p>
    <w:p>
      <w:pPr>
        <w:pStyle w:val="3"/>
        <w:keepNext w:val="0"/>
        <w:keepLines w:val="0"/>
        <w:pageBreakBefore w:val="0"/>
        <w:widowControl w:val="0"/>
        <w:kinsoku/>
        <w:wordWrap/>
        <w:overflowPunct/>
        <w:topLinePunct w:val="0"/>
        <w:autoSpaceDE/>
        <w:autoSpaceDN/>
        <w:bidi w:val="0"/>
        <w:adjustRightInd/>
        <w:snapToGrid/>
        <w:spacing w:beforeAutospacing="0" w:afterAutospacing="0" w:line="594" w:lineRule="exact"/>
        <w:ind w:firstLine="640" w:firstLineChars="200"/>
        <w:jc w:val="both"/>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kern w:val="2"/>
          <w:sz w:val="32"/>
          <w:szCs w:val="32"/>
          <w:lang w:val="en-US" w:eastAsia="zh-CN" w:bidi="ar-SA"/>
        </w:rPr>
        <w:t>四、设计任务</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val="en-US" w:eastAsia="zh-CN"/>
        </w:rPr>
        <w:t>（一）总体</w:t>
      </w:r>
      <w:r>
        <w:rPr>
          <w:rFonts w:hint="eastAsia" w:ascii="方正楷体_GBK" w:hAnsi="方正楷体_GBK" w:eastAsia="方正楷体_GBK" w:cs="方正楷体_GBK"/>
          <w:sz w:val="32"/>
          <w:szCs w:val="32"/>
        </w:rPr>
        <w:t>设计定位</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eastAsia="zh-CN"/>
        </w:rPr>
        <w:t>结合两处拓展空间的主题定位，立足场所空间现状，</w:t>
      </w:r>
      <w:r>
        <w:rPr>
          <w:rFonts w:hint="default" w:ascii="Times New Roman" w:hAnsi="Times New Roman" w:eastAsia="方正仿宋_GBK" w:cs="Times New Roman"/>
          <w:sz w:val="32"/>
          <w:szCs w:val="32"/>
          <w:lang w:val="en-US" w:eastAsia="zh-CN"/>
        </w:rPr>
        <w:t>打造</w:t>
      </w:r>
      <w:r>
        <w:rPr>
          <w:rFonts w:hint="eastAsia" w:ascii="Times New Roman" w:hAnsi="Times New Roman" w:eastAsia="方正仿宋_GBK" w:cs="Times New Roman"/>
          <w:sz w:val="32"/>
          <w:szCs w:val="32"/>
          <w:lang w:val="en-US" w:eastAsia="zh-CN"/>
        </w:rPr>
        <w:t>通透开放、功能兼容、灵活可变、简洁明快的室内主题活动空间，满足面向青少年儿童开展多功能室内主题活动的需求。</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val="en-US" w:eastAsia="zh-CN"/>
        </w:rPr>
        <w:t>项目空间设计需重视对空间利用和功能布局的合理性，需重视安全防护，对项目周边原有建筑情况合理设计，对景观绿化</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 xml:space="preserve">声环境光环境的设计，包括人造光源设计及自然光源环境设计以及相应的避光、 隔声和吸音及其空调新风等措施。 </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val="en-US" w:eastAsia="zh-CN"/>
        </w:rPr>
        <w:t>设计应充分利用原项目情况及现场地优劣情况，营造出互动、开放、自然、相结合的空间</w:t>
      </w:r>
      <w:r>
        <w:rPr>
          <w:rFonts w:hint="eastAsia" w:ascii="Times New Roman" w:hAnsi="Times New Roman" w:eastAsia="方正仿宋_GBK" w:cs="Times New Roman"/>
          <w:sz w:val="32"/>
          <w:szCs w:val="32"/>
          <w:lang w:val="en-US" w:eastAsia="zh-CN"/>
        </w:rPr>
        <w:t>。</w:t>
      </w:r>
    </w:p>
    <w:p>
      <w:pPr>
        <w:pStyle w:val="2"/>
        <w:pageBreakBefore w:val="0"/>
        <w:kinsoku/>
        <w:wordWrap/>
        <w:overflowPunct/>
        <w:topLinePunct w:val="0"/>
        <w:autoSpaceDE/>
        <w:autoSpaceDN/>
        <w:bidi w:val="0"/>
        <w:adjustRightInd/>
        <w:snapToGrid/>
        <w:spacing w:before="0" w:after="0" w:line="594" w:lineRule="exact"/>
        <w:ind w:leftChars="0"/>
        <w:textAlignment w:val="auto"/>
        <w:rPr>
          <w:rFonts w:hint="eastAsia" w:ascii="方正楷体_GBK" w:hAnsi="方正楷体_GBK" w:eastAsia="方正楷体_GBK" w:cs="方正楷体_GBK"/>
          <w:b w:val="0"/>
          <w:bCs w:val="0"/>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eastAsia" w:ascii="方正楷体_GBK" w:hAnsi="方正楷体_GBK" w:eastAsia="方正楷体_GBK" w:cs="方正楷体_GBK"/>
          <w:b w:val="0"/>
          <w:bCs w:val="0"/>
          <w:sz w:val="32"/>
          <w:szCs w:val="32"/>
          <w:lang w:val="en-US" w:eastAsia="zh-CN"/>
        </w:rPr>
        <w:t>（二）分区功能需求</w:t>
      </w:r>
    </w:p>
    <w:p>
      <w:pPr>
        <w:pStyle w:val="2"/>
        <w:pageBreakBefore w:val="0"/>
        <w:kinsoku/>
        <w:wordWrap/>
        <w:overflowPunct/>
        <w:topLinePunct w:val="0"/>
        <w:autoSpaceDE/>
        <w:autoSpaceDN/>
        <w:bidi w:val="0"/>
        <w:adjustRightInd/>
        <w:snapToGrid/>
        <w:spacing w:before="0" w:after="0" w:line="594"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1.综合活动馆</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（1）位置：综合楼负一楼</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（2）面积：</w:t>
      </w:r>
      <w:r>
        <w:rPr>
          <w:rFonts w:hint="default" w:ascii="Times New Roman" w:hAnsi="Times New Roman" w:eastAsia="方正仿宋_GBK" w:cs="Times New Roman"/>
          <w:color w:val="000000"/>
          <w:kern w:val="0"/>
          <w:sz w:val="32"/>
          <w:szCs w:val="32"/>
          <w:lang w:val="en-US" w:eastAsia="zh-CN" w:bidi="ar"/>
        </w:rPr>
        <w:t>1257平方米</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功能需求：在空间布局上以室内多功能大开间综合活动场馆进行定位，可满足学期汇报展演、大型讲座报告、室内团建活动、师生艺术作品展览、儿童社交市集、主题嘉年华活动等多功能用途；在整体调性上可借鉴艺术类临展厅进行营造，以白色、灰色、原木色为主色，可局部零星点缀柠檬黄等其它元素，切忌色彩过多过杂和鲜艳；地面整体铺贴暖灰色耐磨防滑易保洁地砖（可参考市少年宫A区服务中心一楼大厅地面）；室内均不做造型类吊顶，禁止满吊，只考虑管线遮挡面的吊顶，可考虑对无法遮蔽的管线进行艺术化外观处理；在场馆与靠中山二路石壁之间采用基座加中空钢化玻璃的方式进行处理，并确保视觉的通透性美观性；场馆内周边需设置梯步形坐台和储物矮柜。大厅墙面需考虑全部以市少年宫师生绘画书法作品及市少年宫艺术类教育活动成果荣誉图文元素作为环境布置，并加装画廊展览灯光等。</w:t>
      </w:r>
    </w:p>
    <w:p>
      <w:pPr>
        <w:pStyle w:val="2"/>
        <w:pageBreakBefore w:val="0"/>
        <w:kinsoku/>
        <w:wordWrap/>
        <w:overflowPunct/>
        <w:topLinePunct w:val="0"/>
        <w:autoSpaceDE/>
        <w:autoSpaceDN/>
        <w:bidi w:val="0"/>
        <w:adjustRightInd/>
        <w:snapToGrid/>
        <w:spacing w:before="0" w:after="0" w:line="594" w:lineRule="exact"/>
        <w:ind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在场所靠近演播厅方向设置小型展演地台及LED大屏，地台后方切分预留1间功能活动室，侧面预留音控间，将负106教室旁边闲置的卫浴间进行改造，面向活动大厅开门设置为功能性活动场所，利用一些不规则空间设置多个储物间，场馆靠儿童医院方向设置为阳关书房功能性场所。可在本层场馆考虑一处面向家长孩子提供活动用品配送服务的场所，整个大厅需设计环境音响系统及舞台音响系统。</w:t>
      </w:r>
    </w:p>
    <w:p>
      <w:pPr>
        <w:pStyle w:val="2"/>
        <w:pageBreakBefore w:val="0"/>
        <w:kinsoku/>
        <w:wordWrap/>
        <w:overflowPunct/>
        <w:topLinePunct w:val="0"/>
        <w:autoSpaceDE/>
        <w:autoSpaceDN/>
        <w:bidi w:val="0"/>
        <w:adjustRightInd/>
        <w:snapToGrid/>
        <w:spacing w:before="0" w:after="0" w:line="594" w:lineRule="exact"/>
        <w:ind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2.体育运动馆： </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（1）位置：综合楼负三楼</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（2）面积：</w:t>
      </w:r>
      <w:r>
        <w:rPr>
          <w:rFonts w:hint="default" w:ascii="Times New Roman" w:hAnsi="Times New Roman" w:eastAsia="方正仿宋_GBK" w:cs="Times New Roman"/>
          <w:color w:val="000000"/>
          <w:kern w:val="0"/>
          <w:sz w:val="32"/>
          <w:szCs w:val="32"/>
          <w:lang w:val="en-US" w:eastAsia="zh-CN" w:bidi="ar"/>
        </w:rPr>
        <w:t>1124.3平方米</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功能需求：在空间布局上以室内多功能大开间体育活动场馆进行定位，可满足室内体育运动集会、体育学期汇报展示、团队活动集散、分区开展少儿篮球、轮滑等室内体育活动项目的功能用途，并兼顾主题嘉年华活动等多功能用途；在整体调性上可考虑以白色、灰色、原木色为主色，可局部零星点缀柠檬黄等其它元素，切忌色彩过多过杂和鲜艳；地面整体铺贴暖灰色耐磨防滑易保洁地砖（可参考市少年宫A区服务中心一楼大厅地面）；室内均不做造型类吊顶，禁止满吊，只考虑管线遮挡面的吊顶，可考虑对无法遮蔽的管线进行艺术化外观处理；在场馆与靠中山二路石壁之间采用基座加中空钢化玻璃的方式进行处理，并确保视觉的通透性美观性，场馆内周边需设置梯步型坐台和储物矮柜。大厅墙面需考虑以奥运文化及体育运动元素、市少年宫体育教育活动成果图文等元素作为环境布置。</w:t>
      </w:r>
    </w:p>
    <w:p>
      <w:pPr>
        <w:pStyle w:val="2"/>
        <w:pageBreakBefore w:val="0"/>
        <w:kinsoku/>
        <w:wordWrap/>
        <w:overflowPunct/>
        <w:topLinePunct w:val="0"/>
        <w:autoSpaceDE/>
        <w:autoSpaceDN/>
        <w:bidi w:val="0"/>
        <w:adjustRightInd/>
        <w:snapToGrid/>
        <w:spacing w:before="0" w:after="0" w:line="594" w:lineRule="exact"/>
        <w:ind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在场所靠近演播厅方向设置LED大屏，侧面预留音控间，利用一些不规则空间设置多个器械储物间，办公管理用房，整个大厅需设计环境音响系统。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kern w:val="2"/>
          <w:sz w:val="32"/>
          <w:szCs w:val="32"/>
          <w:lang w:val="en-US" w:eastAsia="zh-CN" w:bidi="ar-SA"/>
        </w:rPr>
        <w:t>3.环境绿化。</w:t>
      </w:r>
      <w:r>
        <w:rPr>
          <w:rFonts w:hint="default" w:ascii="Times New Roman" w:hAnsi="Times New Roman" w:eastAsia="方正仿宋_GBK" w:cs="Times New Roman"/>
          <w:sz w:val="32"/>
          <w:szCs w:val="32"/>
          <w:lang w:val="en-US" w:eastAsia="zh-CN"/>
        </w:rPr>
        <w:t>在场地周边灵活布局绿化在，注重实用性和维护的便利性。</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4" w:lineRule="exact"/>
        <w:ind w:right="0" w:rightChars="0" w:firstLine="640" w:firstLineChars="200"/>
        <w:jc w:val="both"/>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五、</w:t>
      </w:r>
      <w:r>
        <w:rPr>
          <w:rFonts w:hint="default" w:ascii="方正黑体_GBK" w:hAnsi="方正黑体_GBK" w:eastAsia="方正黑体_GBK" w:cs="方正黑体_GBK"/>
          <w:b w:val="0"/>
          <w:bCs w:val="0"/>
          <w:kern w:val="2"/>
          <w:sz w:val="32"/>
          <w:szCs w:val="32"/>
          <w:lang w:val="en-US" w:eastAsia="zh-CN" w:bidi="ar-SA"/>
        </w:rPr>
        <w:t>设计成果</w:t>
      </w:r>
      <w:r>
        <w:rPr>
          <w:rFonts w:hint="eastAsia" w:ascii="方正黑体_GBK" w:hAnsi="方正黑体_GBK" w:eastAsia="方正黑体_GBK" w:cs="方正黑体_GBK"/>
          <w:b w:val="0"/>
          <w:bCs w:val="0"/>
          <w:kern w:val="2"/>
          <w:sz w:val="32"/>
          <w:szCs w:val="32"/>
          <w:lang w:val="en-US" w:eastAsia="zh-CN" w:bidi="ar-SA"/>
        </w:rPr>
        <w:t>提交要求</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94" w:lineRule="exact"/>
        <w:ind w:leftChars="0" w:right="0" w:rightChars="0"/>
        <w:jc w:val="both"/>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 xml:space="preserve">    </w:t>
      </w:r>
      <w:r>
        <w:rPr>
          <w:rFonts w:hint="eastAsia" w:ascii="方正仿宋_GBK" w:hAnsi="方正仿宋_GBK" w:eastAsia="方正仿宋_GBK" w:cs="方正仿宋_GBK"/>
          <w:b w:val="0"/>
          <w:bCs w:val="0"/>
          <w:kern w:val="2"/>
          <w:sz w:val="32"/>
          <w:szCs w:val="32"/>
          <w:lang w:val="en-US" w:eastAsia="zh-CN" w:bidi="ar-SA"/>
        </w:rPr>
        <w:t>设计单位须按以下要求将形成的设计成果进行规范编制提交纸质及电子文件。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（一）提交文件名称</w:t>
      </w:r>
    </w:p>
    <w:p>
      <w:pPr>
        <w:pStyle w:val="2"/>
        <w:pageBreakBefore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1.重庆市少年宫室内主题活动空间功能提升项目可行性研究方案</w:t>
      </w:r>
    </w:p>
    <w:p>
      <w:pPr>
        <w:pStyle w:val="2"/>
        <w:pageBreakBefore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2.重庆市少年宫室内主题活动空间功能提升项目设计方案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rPr>
          <w:rFonts w:hint="eastAsia" w:ascii="方正楷体_GBK" w:hAnsi="方正楷体_GBK" w:eastAsia="方正楷体_GBK" w:cs="方正楷体_GBK"/>
          <w:b w:val="0"/>
          <w:bCs w:val="0"/>
          <w:color w:val="auto"/>
          <w:sz w:val="32"/>
          <w:szCs w:val="32"/>
          <w:lang w:val="en-US" w:eastAsia="zh-CN"/>
        </w:rPr>
      </w:pPr>
      <w:r>
        <w:rPr>
          <w:rFonts w:hint="eastAsia" w:ascii="方正楷体_GBK" w:hAnsi="方正楷体_GBK" w:eastAsia="方正楷体_GBK" w:cs="方正楷体_GBK"/>
          <w:b w:val="0"/>
          <w:bCs w:val="0"/>
          <w:color w:val="auto"/>
          <w:sz w:val="32"/>
          <w:szCs w:val="32"/>
          <w:lang w:val="en-US" w:eastAsia="zh-CN"/>
        </w:rPr>
        <w:t>（二）可行性研究方案的编制要求</w:t>
      </w:r>
    </w:p>
    <w:p>
      <w:pPr>
        <w:pStyle w:val="2"/>
        <w:pageBreakBefore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hint="default"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按照可行性研究报告的编制规范要求和目录内容要求进行编制。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val="0"/>
          <w:bCs w:val="0"/>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（三）设计方案的内容及编印顺序</w:t>
      </w:r>
    </w:p>
    <w:p>
      <w:pPr>
        <w:pStyle w:val="2"/>
        <w:pageBreakBefore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 xml:space="preserve"> 1.项目概述篇</w:t>
      </w:r>
    </w:p>
    <w:p>
      <w:pPr>
        <w:pStyle w:val="2"/>
        <w:pageBreakBefore w:val="0"/>
        <w:kinsoku/>
        <w:wordWrap/>
        <w:overflowPunct/>
        <w:topLinePunct w:val="0"/>
        <w:autoSpaceDE/>
        <w:autoSpaceDN/>
        <w:bidi w:val="0"/>
        <w:adjustRightInd/>
        <w:snapToGrid/>
        <w:spacing w:before="0" w:after="0" w:line="594" w:lineRule="exact"/>
        <w:ind w:leftChars="0"/>
        <w:textAlignment w:val="auto"/>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val="0"/>
          <w:bCs w:val="0"/>
          <w:color w:val="auto"/>
          <w:sz w:val="32"/>
          <w:szCs w:val="32"/>
          <w:lang w:val="en-US" w:eastAsia="zh-CN"/>
        </w:rPr>
        <w:t xml:space="preserve"> </w:t>
      </w: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 xml:space="preserve"> </w:t>
      </w:r>
      <w:r>
        <w:rPr>
          <w:rFonts w:hint="eastAsia" w:ascii="Times New Roman" w:hAnsi="Times New Roman" w:eastAsia="方正仿宋_GBK" w:cs="Times New Roman"/>
          <w:b w:val="0"/>
          <w:bCs w:val="0"/>
          <w:color w:val="auto"/>
          <w:sz w:val="32"/>
          <w:szCs w:val="32"/>
          <w:lang w:val="en-US" w:eastAsia="zh-CN"/>
        </w:rPr>
        <w:t xml:space="preserve"> </w:t>
      </w:r>
      <w:r>
        <w:rPr>
          <w:rFonts w:hint="default" w:ascii="Times New Roman" w:hAnsi="Times New Roman" w:eastAsia="方正仿宋_GBK" w:cs="Times New Roman"/>
          <w:b w:val="0"/>
          <w:bCs w:val="0"/>
          <w:color w:val="auto"/>
          <w:sz w:val="32"/>
          <w:szCs w:val="32"/>
          <w:lang w:val="en-US" w:eastAsia="zh-CN"/>
        </w:rPr>
        <w:t>（1）图文方式介绍场所现状</w:t>
      </w:r>
    </w:p>
    <w:p>
      <w:pPr>
        <w:pStyle w:val="2"/>
        <w:pageBreakBefore w:val="0"/>
        <w:kinsoku/>
        <w:wordWrap/>
        <w:overflowPunct/>
        <w:topLinePunct w:val="0"/>
        <w:autoSpaceDE/>
        <w:autoSpaceDN/>
        <w:bidi w:val="0"/>
        <w:adjustRightInd/>
        <w:snapToGrid/>
        <w:spacing w:before="0" w:after="0" w:line="594" w:lineRule="exact"/>
        <w:ind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（2）设计委托及设计过程</w:t>
      </w:r>
    </w:p>
    <w:p>
      <w:pPr>
        <w:pStyle w:val="2"/>
        <w:pageBreakBefore w:val="0"/>
        <w:kinsoku/>
        <w:wordWrap/>
        <w:overflowPunct/>
        <w:topLinePunct w:val="0"/>
        <w:autoSpaceDE/>
        <w:autoSpaceDN/>
        <w:bidi w:val="0"/>
        <w:adjustRightInd/>
        <w:snapToGrid/>
        <w:spacing w:before="0" w:after="0" w:line="594" w:lineRule="exact"/>
        <w:ind w:leftChars="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 xml:space="preserve"> （3）设计依据</w:t>
      </w:r>
    </w:p>
    <w:p>
      <w:pPr>
        <w:pStyle w:val="2"/>
        <w:pageBreakBefore w:val="0"/>
        <w:kinsoku/>
        <w:wordWrap/>
        <w:overflowPunct/>
        <w:topLinePunct w:val="0"/>
        <w:autoSpaceDE/>
        <w:autoSpaceDN/>
        <w:bidi w:val="0"/>
        <w:adjustRightInd/>
        <w:snapToGrid/>
        <w:spacing w:before="0" w:after="0" w:line="594" w:lineRule="exact"/>
        <w:ind w:leftChars="0" w:firstLine="320" w:firstLineChars="1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（4）设计原则</w:t>
      </w:r>
    </w:p>
    <w:p>
      <w:pPr>
        <w:pStyle w:val="2"/>
        <w:pageBreakBefore w:val="0"/>
        <w:kinsoku/>
        <w:wordWrap/>
        <w:overflowPunct/>
        <w:topLinePunct w:val="0"/>
        <w:autoSpaceDE/>
        <w:autoSpaceDN/>
        <w:bidi w:val="0"/>
        <w:adjustRightInd/>
        <w:snapToGrid/>
        <w:spacing w:before="0" w:after="0" w:line="594" w:lineRule="exact"/>
        <w:ind w:leftChars="0" w:firstLine="320" w:firstLineChars="1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（5）设计形成的总体功能布局及成果简介</w:t>
      </w:r>
    </w:p>
    <w:p>
      <w:pPr>
        <w:pStyle w:val="2"/>
        <w:pageBreakBefore w:val="0"/>
        <w:numPr>
          <w:ilvl w:val="0"/>
          <w:numId w:val="0"/>
        </w:numPr>
        <w:kinsoku/>
        <w:wordWrap/>
        <w:overflowPunct/>
        <w:topLinePunct w:val="0"/>
        <w:autoSpaceDE/>
        <w:autoSpaceDN/>
        <w:bidi w:val="0"/>
        <w:adjustRightInd/>
        <w:snapToGrid/>
        <w:spacing w:before="0" w:after="0" w:line="594" w:lineRule="exact"/>
        <w:ind w:firstLine="640" w:firstLineChars="200"/>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2.项目功能分区篇</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firstLine="320" w:firstLineChars="1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（1）综合活动馆</w:t>
      </w:r>
    </w:p>
    <w:p>
      <w:pPr>
        <w:keepNext w:val="0"/>
        <w:keepLines w:val="0"/>
        <w:pageBreakBefore w:val="0"/>
        <w:widowControl/>
        <w:suppressLineNumbers w:val="0"/>
        <w:kinsoku/>
        <w:wordWrap/>
        <w:overflowPunct/>
        <w:topLinePunct w:val="0"/>
        <w:autoSpaceDE/>
        <w:autoSpaceDN/>
        <w:bidi w:val="0"/>
        <w:adjustRightInd/>
        <w:snapToGrid/>
        <w:spacing w:line="594" w:lineRule="exact"/>
        <w:ind w:leftChars="0" w:firstLine="640"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基本内容及编排顺序为：场所位置说明、建筑面积说明、功能用途、空间布局说明、平面布局图、空间效果图（含重点分区效果图）主要用材及做法说明、综合活动馆功能提升费用估算表（分项估算）</w:t>
      </w:r>
    </w:p>
    <w:p>
      <w:pPr>
        <w:pStyle w:val="2"/>
        <w:pageBreakBefore w:val="0"/>
        <w:kinsoku/>
        <w:wordWrap/>
        <w:overflowPunct/>
        <w:topLinePunct w:val="0"/>
        <w:autoSpaceDE/>
        <w:autoSpaceDN/>
        <w:bidi w:val="0"/>
        <w:adjustRightInd/>
        <w:snapToGrid/>
        <w:spacing w:before="0" w:after="0" w:line="594" w:lineRule="exact"/>
        <w:ind w:leftChars="0" w:firstLine="320" w:firstLineChars="100"/>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  （2）体育运动馆</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firstLine="640" w:firstLineChars="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基本内容及编排顺序为：场所位置说明、建筑面积说明、功能用途、空间布局说明、平面布局图、空间效果图（含重点分区效果图）主要用材及做法说明、体育运动馆功能提升费用估算表（分项估算）</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firstLine="640" w:firstLineChars="0"/>
        <w:jc w:val="both"/>
        <w:textAlignment w:val="auto"/>
        <w:rPr>
          <w:rFonts w:hint="default" w:ascii="Times New Roman" w:hAnsi="Times New Roman" w:eastAsia="方正仿宋_GBK" w:cs="Times New Roman"/>
          <w:b/>
          <w:bCs/>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3.费用估算篇</w:t>
      </w:r>
    </w:p>
    <w:p>
      <w:pPr>
        <w:keepNext w:val="0"/>
        <w:keepLines w:val="0"/>
        <w:pageBreakBefore w:val="0"/>
        <w:widowControl/>
        <w:suppressLineNumbers w:val="0"/>
        <w:kinsoku/>
        <w:wordWrap/>
        <w:overflowPunct/>
        <w:topLinePunct w:val="0"/>
        <w:autoSpaceDE/>
        <w:autoSpaceDN/>
        <w:bidi w:val="0"/>
        <w:adjustRightInd/>
        <w:snapToGrid/>
        <w:spacing w:line="594" w:lineRule="exact"/>
        <w:ind w:left="0" w:leftChars="0" w:firstLine="640" w:firstLineChars="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color w:val="000000"/>
          <w:kern w:val="2"/>
          <w:sz w:val="32"/>
          <w:szCs w:val="32"/>
          <w:lang w:val="en-US" w:eastAsia="zh-CN" w:bidi="ar-SA"/>
        </w:rPr>
        <w:t>以分项分段的形式（分项包含但不限于消防、暖通、给排水、景观绿化、天地墙装饰；分段为负一楼和负三楼），按照实际面积和设计的功能布局图，对项目主要用材、工程量、人工、设备、造价列表测算，</w:t>
      </w:r>
      <w:r>
        <w:rPr>
          <w:rFonts w:hint="eastAsia" w:ascii="Times New Roman" w:hAnsi="Times New Roman" w:eastAsia="方正仿宋_GBK" w:cs="Times New Roman"/>
          <w:b w:val="0"/>
          <w:bCs w:val="0"/>
          <w:color w:val="000000"/>
          <w:kern w:val="2"/>
          <w:sz w:val="32"/>
          <w:szCs w:val="32"/>
          <w:lang w:val="en-US" w:eastAsia="zh-CN" w:bidi="ar-SA"/>
        </w:rPr>
        <w:t xml:space="preserve"> 提交</w:t>
      </w:r>
      <w:r>
        <w:rPr>
          <w:rFonts w:hint="default" w:ascii="Times New Roman" w:hAnsi="Times New Roman" w:eastAsia="方正仿宋_GBK" w:cs="Times New Roman"/>
          <w:b w:val="0"/>
          <w:bCs w:val="0"/>
          <w:color w:val="000000"/>
          <w:kern w:val="2"/>
          <w:sz w:val="32"/>
          <w:szCs w:val="32"/>
          <w:lang w:val="en-US" w:eastAsia="zh-CN" w:bidi="ar-SA"/>
        </w:rPr>
        <w:t>分项分段评估表和总估算表。</w:t>
      </w: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3YzBjN2UwYTQzODE0OTE1MDk5ODczMTc0MGIyNjcifQ=="/>
  </w:docVars>
  <w:rsids>
    <w:rsidRoot w:val="01A712A2"/>
    <w:rsid w:val="01A7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15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2022-07-05T02:26:00Z</dcterms:created>
  <dc:creator>啊.～佳</dc:creator>
  <cp:lastModifiedBy>啊.～佳</cp:lastModifiedBy>
  <dcterms:modified xsi:type="dcterms:W3CDTF">2022-07-05T02:26:36Z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D98F95C4C40E4A77B93DE683ED3C7EC2</vt:lpwstr>
  </property>
</Properties>
</file>